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98118A">
        <w:rPr>
          <w:b/>
          <w:sz w:val="22"/>
          <w:szCs w:val="22"/>
        </w:rPr>
        <w:t>4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98118A">
        <w:rPr>
          <w:b/>
          <w:sz w:val="22"/>
          <w:szCs w:val="22"/>
        </w:rPr>
        <w:t>3</w:t>
      </w:r>
      <w:r w:rsidR="00F96246">
        <w:rPr>
          <w:b/>
          <w:sz w:val="22"/>
          <w:szCs w:val="22"/>
        </w:rPr>
        <w:t>3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F96246">
        <w:rPr>
          <w:b/>
          <w:sz w:val="22"/>
          <w:szCs w:val="22"/>
        </w:rPr>
        <w:t>23266797</w:t>
      </w:r>
      <w:r w:rsidR="0004745A">
        <w:rPr>
          <w:b/>
          <w:sz w:val="22"/>
          <w:szCs w:val="22"/>
        </w:rPr>
        <w:t>/2019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F96246">
        <w:rPr>
          <w:b/>
          <w:sz w:val="22"/>
          <w:szCs w:val="22"/>
        </w:rPr>
        <w:t xml:space="preserve">TC MADEIRAS </w:t>
      </w:r>
      <w:proofErr w:type="gramStart"/>
      <w:r w:rsidR="00F96246">
        <w:rPr>
          <w:b/>
          <w:sz w:val="22"/>
          <w:szCs w:val="22"/>
        </w:rPr>
        <w:t>INDUSTRIA</w:t>
      </w:r>
      <w:proofErr w:type="gramEnd"/>
      <w:r w:rsidR="00F96246">
        <w:rPr>
          <w:b/>
          <w:sz w:val="22"/>
          <w:szCs w:val="22"/>
        </w:rPr>
        <w:t xml:space="preserve"> E COMERCIO LTDA</w:t>
      </w:r>
      <w:r w:rsidR="000A7BEA">
        <w:rPr>
          <w:b/>
          <w:sz w:val="22"/>
          <w:szCs w:val="22"/>
        </w:rPr>
        <w:t>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DA1F71">
        <w:rPr>
          <w:sz w:val="22"/>
          <w:szCs w:val="22"/>
        </w:rPr>
        <w:t>10 de outu</w:t>
      </w:r>
      <w:r w:rsidR="0008327F">
        <w:rPr>
          <w:sz w:val="22"/>
          <w:szCs w:val="22"/>
        </w:rPr>
        <w:t>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</w:t>
      </w:r>
      <w:r w:rsidR="00C14483" w:rsidRPr="000D3208">
        <w:rPr>
          <w:sz w:val="22"/>
          <w:szCs w:val="22"/>
        </w:rPr>
        <w:t xml:space="preserve">nº </w:t>
      </w:r>
      <w:r w:rsidR="0098118A">
        <w:rPr>
          <w:sz w:val="22"/>
          <w:szCs w:val="22"/>
        </w:rPr>
        <w:t>232667</w:t>
      </w:r>
      <w:r w:rsidR="00F96246">
        <w:rPr>
          <w:sz w:val="22"/>
          <w:szCs w:val="22"/>
        </w:rPr>
        <w:t>97</w:t>
      </w:r>
      <w:r w:rsidR="0004745A" w:rsidRPr="0004745A">
        <w:rPr>
          <w:sz w:val="22"/>
          <w:szCs w:val="22"/>
        </w:rPr>
        <w:t>/2019</w:t>
      </w:r>
      <w:r w:rsidR="000D3208">
        <w:rPr>
          <w:b/>
          <w:sz w:val="22"/>
          <w:szCs w:val="22"/>
        </w:rPr>
        <w:t xml:space="preserve"> 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98118A" w:rsidRPr="0098118A">
        <w:rPr>
          <w:sz w:val="22"/>
          <w:szCs w:val="22"/>
        </w:rPr>
        <w:t>R$ 2.271,73(dois mil, duzentos e setenta e um reais e setenta e três centavos)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DA1F71">
        <w:rPr>
          <w:sz w:val="22"/>
          <w:szCs w:val="22"/>
        </w:rPr>
        <w:t>10</w:t>
      </w:r>
      <w:r w:rsidRPr="00061D2C">
        <w:rPr>
          <w:sz w:val="22"/>
          <w:szCs w:val="22"/>
        </w:rPr>
        <w:t xml:space="preserve"> de </w:t>
      </w:r>
      <w:r w:rsidR="00DA1F71">
        <w:rPr>
          <w:sz w:val="22"/>
          <w:szCs w:val="22"/>
        </w:rPr>
        <w:t>outu</w:t>
      </w:r>
      <w:r w:rsidR="0008327F">
        <w:rPr>
          <w:sz w:val="22"/>
          <w:szCs w:val="22"/>
        </w:rPr>
        <w:t>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4745A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3208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18A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58B0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1F71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46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2019-10-23T14:54:00Z</dcterms:created>
  <dcterms:modified xsi:type="dcterms:W3CDTF">2019-10-23T14:54:00Z</dcterms:modified>
</cp:coreProperties>
</file>